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9719ecde61489e" /></Relationships>
</file>

<file path=word/document.xml><?xml version="1.0" encoding="utf-8"?>
<w:document xmlns:w="http://schemas.openxmlformats.org/wordprocessingml/2006/main">
  <w:body>
    <w:tbl>
      <w:tblPr>
        <w:tblW w:w="9000" w:type="dxa"/>
        <w:tblBorders>
          <w:top w:val="nil"/>
          <w:bottom w:val="nil"/>
          <w:left w:val="nil"/>
          <w:right w:val="nil"/>
          <w:insideH w:val="nil"/>
          <w:insideV w:val="nil"/>
        </w:tblBorders>
        <w:tblCellSpacing w:w="60" w:type="dxa"/>
        <w:shd w:val="clear" w:color="auto" w:fill="E7F0F9"/>
      </w:tblPr>
      <w:tblGrid>
        <w:gridCol w:w="1200"/>
        <w:gridCol w:w="4500"/>
      </w:tblGrid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RKP broj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49405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Naziv obveznika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GRADSKI STANOVI</w:t>
            </w:r>
          </w:p>
        </w:tc>
      </w:tr>
      <w:tr>
        <w:tc>
          <w:tcPr>
            <w:tcW w:w="1200" w:type="pct"/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rPr>
                <w:b/>
              </w:rPr>
              <w:t xml:space="preserve">Razina</w:t>
            </w:r>
          </w:p>
        </w:tc>
        <w:tc>
          <w:tcPr>
            <w:shd w:val="clear" w:color="auto" w:fill="E7F0F9"/>
          </w:tcPr>
          <w:p>
            <w:pPr>
              <w:spacing w:before="0" w:after="0" w:line="240" w:lineRule="auto"/>
              <w:jc w:val="left"/>
            </w:pPr>
            <w:r>
              <w:t xml:space="preserve">21</w:t>
            </w:r>
          </w:p>
        </w:tc>
      </w:tr>
    </w:tbl>
    <w:p>
      <w:r>
        <w:br/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BILJEŠKE UZ FINANCIJSKE IZVJEŠTAJE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ZA RAZDOBLJE</w:t>
      </w:r>
    </w:p>
    <w:p>
      <w:pPr>
        <w:jc w:val="center"/>
        <w:pStyle w:val="Normal"/>
        <w:spacing w:line="240" w:lineRule="auto"/>
      </w:pPr>
      <w:r>
        <w:rPr>
          <w:b/>
          <w:sz w:val="28"/>
          <w:rFonts w:ascii="Times New Roman" w:hAnsi="Times New Roman"/>
        </w:rPr>
        <w:t xml:space="preserve">I - VI 2026.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prihodima i rashodima, primicima i izdacima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0" w:type="auto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414.856,83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266.470,22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189.195,83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228.833,04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121,0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PRIHODA POSLOVANJA (šifre 6-Z005)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225.661,00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37.637,18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16,7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nefinancijske imovine (šifre 71+72+73+74)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376.041,87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666.628,00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177,3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1.831.802,21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2.000.388,80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109,2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OD NEFINANCIJSKE IMOVINE (šifre 4-7)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1.455.760,34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1.333.760,80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91,6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776.149,51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689.125,75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Izdaci za financijsku imovinu i otplate zajmova (šifre 51+52+53+54+55)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VIŠAK PRIMITAKA OD FINANCIJSKE IMOVINE I ZADUŽIVANJA (šifre 8-5)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X003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776.149,51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689.125,75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88,8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MANJAK PRIHODA I PRIMITAKA (šifre Y345-X678)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Y005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453.949,83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606.997,87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133,7</w:t>
            </w:r>
          </w:p>
        </w:tc>
      </w:tr>
    </w:tbl>
    <w:p>
      <w:pPr>
        <w:spacing w:before="0" w:after="0"/>
      </w:pPr>
    </w:p>
    <w:p>
      <w:r>
        <w:t xml:space="preserve">Ukupni prihodi poslovanja su manji u odnosu na prethodnu godinu te iznose 266.470,00 EUR. Ukupni prihodi poslovanja odnose se na prihode od imovine ( prihodi od zakupa i najma, prihodi od naknada za upravljanje zgradama i prihode od kamata) i prihode od nadležnog proračuna.</w:t>
      </w:r>
    </w:p>
    <w:p>
      <w:r>
        <w:t xml:space="preserve">Ukupno rashodi poslovanja su veći u odnosu na prethodnu godinu te iznose 228.833,04 EUR, a odnose se na rashode za zaposlene, materijalne rashode ( rashodi za naknade troškova zaposlenima, rashodi za materijal i energiju, rashodi za usluge i ostali nespomenuti rashodi poslovanja) i financijsku rashode ( bankarske usluge). </w:t>
      </w:r>
    </w:p>
    <w:p>
      <w:r>
        <w:t xml:space="preserve">Ukupni prihodi od prodaje nefinancijske imovine su  veći u odnosu na prethodnu godinu zbog prodaje stanova u Zgradi 2 na lokaciji Ivana Nepomuka Petrovića i lokaciji Hrašćica (Rajčul). </w:t>
      </w:r>
    </w:p>
    <w:p>
      <w:r>
        <w:t xml:space="preserve">Ukupni rashodi za nabavu nefinancijske imovine su veći u odnosu na prethodnu godinu jer je u tijeku izgradnja Zgrade 3 i Zgrade 4. </w:t>
      </w:r>
    </w:p>
    <w:p>
      <w:r>
        <w:t xml:space="preserve">Ukupni primici od financije imovine i zaduživanja iznose 689.125,75 EUR, a odnose se na primitke od APN-a za izgradnju Zgrade 3 na lokaciji Ivana Nepomuka Petrovića. </w:t>
      </w:r>
    </w:p>
    <w:p>
      <w:r>
        <w:t xml:space="preserve"> </w:t>
      </w:r>
    </w:p>
    <w:p>
      <w:r>
        <w:br/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POSLOVANJA (šifre 61+62+63+64+65+66+67+68)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414.856,83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266.470,22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64,2</w:t>
            </w:r>
          </w:p>
        </w:tc>
      </w:tr>
    </w:tbl>
    <w:p>
      <w:pPr>
        <w:spacing w:before="0" w:after="0"/>
      </w:pPr>
    </w:p>
    <w:p>
      <w:r>
        <w:t xml:space="preserve">Ukupni prihodi poslovanja su manji u odnosu na prethodnu godinu te iznose 266.470,22 EUR. Ukupni prihodi poslovanja odnose se na prihode od imovine ( prihodi od zakupa i najma, prihodi od naknada za upravljanje zgradama te prihodi od kamata) i prihode od nadležnog proračuna. Prihodi od poslovnja manji su u odnosu na prethodnu godinu najvećim dijelom zbog manjih prihoda iz nadležnog proračuna. </w:t>
      </w:r>
    </w:p>
    <w:p>
      <w:r>
        <w:t xml:space="preserve">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POSLOVANJA (šifre 31+32+34+35+36+37+38) 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189.195,83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228.833,04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121,0</w:t>
            </w:r>
          </w:p>
        </w:tc>
      </w:tr>
    </w:tbl>
    <w:p>
      <w:pPr>
        <w:spacing w:before="0" w:after="0"/>
      </w:pPr>
    </w:p>
    <w:p>
      <w:r>
        <w:t xml:space="preserve">Ukupni rashodi poslovanja su veći u odnosu na prethodnu godinu te iznose 228.833,04 EUR. Ukupni rashodi odnose se na rashode za zaposlene, materijalne rashode ( rashodi za naknade troškova zaposlenima, rashodi za materijal i energiju, rashodi za usluge i ostali nespomenuti rashodi poslovanja).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zaposlene (šifre 311+312+313)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119.339,77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151.981,88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127,4</w:t>
            </w:r>
          </w:p>
        </w:tc>
      </w:tr>
    </w:tbl>
    <w:p>
      <w:pPr>
        <w:spacing w:before="0" w:after="0"/>
      </w:pPr>
    </w:p>
    <w:p>
      <w:r>
        <w:t xml:space="preserve">Povećanje rashoda za zaposlene gdje indeks izvršenja iznosi 127,4% dolazi zbog povećanja broja zaposlenih za 2, odnosnu u izvještajnom razdoblju prethodne godine bilo je zaposleno 7 djelatnika, dok je u ovom izvještajnom razdoblju zaposleno 9 djelatnika.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Ostali rashodi za zaposlene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312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7.543,25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15.681,26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207,9</w:t>
            </w:r>
          </w:p>
        </w:tc>
      </w:tr>
    </w:tbl>
    <w:p>
      <w:pPr>
        <w:spacing w:before="0" w:after="0"/>
      </w:pPr>
    </w:p>
    <w:p>
      <w:r>
        <w:t xml:space="preserve">Ostali rashodi  za zaposlene su veći u odnosu na prethodnu godinu zbog  isplate otpremnine uslijed odlaska u starosnu mirovinu te povećanja broja zaposlenih za 2, odnosno u izvještajnom razdoblju prethodne godine je bilo 7 zaposlenih, dok je ove godine broj zaposlenih 9.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6.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Usluge tekućeg i investicijskog održavanja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1.844,05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12.158,70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659,3</w:t>
            </w:r>
          </w:p>
        </w:tc>
      </w:tr>
    </w:tbl>
    <w:p>
      <w:pPr>
        <w:spacing w:before="0" w:after="0"/>
      </w:pPr>
    </w:p>
    <w:p>
      <w:r>
        <w:t xml:space="preserve">Usluge investicijskog održavanja su veće u odnosu na prošlu godinu i odnose se na izradu ograde za dječje igralište u Hrašćici (Rajčul), sanaciji dimnjaka u prostorijama bivšeg mjesnog Biškupec.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7.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Računalne usluge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3238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55,00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1.634,00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2970,9</w:t>
            </w:r>
          </w:p>
        </w:tc>
      </w:tr>
    </w:tbl>
    <w:p>
      <w:pPr>
        <w:spacing w:before="0" w:after="0"/>
      </w:pPr>
    </w:p>
    <w:p>
      <w:r>
        <w:t xml:space="preserve">Povećanje rashoda za računalne usluge nastalo je uslijed promjene programa za djelatnost upraviteljstva.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8.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Prihodi od prodaje proizvedene dugotrajne imovine (šifre 721+722+723+724+725+726)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376.041,87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666.628,00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177,3</w:t>
            </w:r>
          </w:p>
        </w:tc>
      </w:tr>
    </w:tbl>
    <w:p>
      <w:pPr>
        <w:spacing w:before="0" w:after="0"/>
      </w:pPr>
    </w:p>
    <w:p>
      <w:r>
        <w:t xml:space="preserve">Prihodi od prodaje proizvedene dugotrajne imovine su veći zbog prodaje stanova u Zgradi 2 na lokaciji Ivana Nepomuka Petrovića i na lokaciji Hrašćica (Rajčul)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9.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Rashodi za nabavu nefinancijske imovine (šifre 41+42+43+44+45)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1.831.802,21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2.000.388,80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109,2</w:t>
            </w:r>
          </w:p>
        </w:tc>
      </w:tr>
    </w:tbl>
    <w:p>
      <w:pPr>
        <w:spacing w:before="0" w:after="0"/>
      </w:pPr>
    </w:p>
    <w:p>
      <w:r>
        <w:t xml:space="preserve">Rashodi za nabavu nefinancijske imovine su veći iz razloga što je u tijeku izgradnja Zgrade 3 i Zgrade 4 na lokaciji Ivana Nepomuka Petrovića.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10.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Uređaji, strojevi i oprema za ostale namjene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195,92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11.100,00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5665,6</w:t>
            </w:r>
          </w:p>
        </w:tc>
      </w:tr>
    </w:tbl>
    <w:p>
      <w:pPr>
        <w:spacing w:before="0" w:after="0"/>
      </w:pPr>
    </w:p>
    <w:p>
      <w:r>
        <w:t xml:space="preserve">Nabavljena oprema za dječje igralište u Hrašćici (Rajčul)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11.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Ostala nematerijalna proizvedena imovina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4264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0,00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2.151,22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Opremanje prostorija bivšeg mjesnog odbora  Kućan Marof.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12.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prethodne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Ostvareno u izvještajnom razdoblju tekuće godine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Primici od financijske imovine i zaduživanja (šifre 81+82+83+84+85)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776.149,51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689.125,75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88,8</w:t>
            </w:r>
          </w:p>
        </w:tc>
      </w:tr>
    </w:tbl>
    <w:p>
      <w:pPr>
        <w:spacing w:before="0" w:after="0"/>
      </w:pPr>
    </w:p>
    <w:p>
      <w:r>
        <w:t xml:space="preserve">Primici od financijske imovine i zaduživanja odnosne se na primitke od APN-a za Zgradu 3. </w:t>
      </w:r>
    </w:p>
    <w:p/>
    <w:p>
      <w:pPr>
        <w:jc w:val="center"/>
        <w:pStyle w:val="Normal"/>
        <w:spacing w:line="240" w:lineRule="auto"/>
        <w:keepNext/>
      </w:pPr>
      <w:r>
        <w:rPr>
          <w:b/>
          <w:sz w:val="28"/>
          <w:rFonts w:ascii="Times New Roman" w:hAnsi="Times New Roman"/>
        </w:rPr>
        <w:t xml:space="preserve">Izvještaj o obvezama</w:t>
      </w:r>
    </w:p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13.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Obveze za predujmove, depozite, jamčevne pologe i tuđe prihode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N27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1.952.468,84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se odnose na primljene predujmove za stanove u izgradnji, temeljem predugovora o kupoprodaji.  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14.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dospjelih obveza na kraju izvještajnog razdoblja (šifre V008+D23+D24 + 'D dio 25,26' + 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V007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4.811,64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Dospjele obveze se odnose na račune za potrošni materijal, bankarske naknade, čišćenje mjesnih odbora, električnu energiju.</w:t>
      </w:r>
    </w:p>
    <w:p/>
    <w:p>
      <w:pPr>
        <w:jc w:val="center"/>
        <w:pStyle w:val="Normal"/>
        <w:spacing w:line="240" w:lineRule="auto"/>
        <w:keepNext/>
      </w:pPr>
      <w:r>
        <w:rPr>
          <w:sz w:val="28"/>
          <w:rFonts w:ascii="Times New Roman" w:hAnsi="Times New Roman"/>
        </w:rPr>
        <w:t xml:space="preserve">Bilješka 15.</w:t>
      </w:r>
    </w:p>
    <w:tbl>
      <w:tblPr>
        <w:tblBorders>
          <w:top w:val="single" w:color="BABABA" w:sz="12"/>
          <w:bottom w:val="single" w:color="BABABA" w:sz="12"/>
          <w:left w:val="single" w:color="BABABA" w:sz="12"/>
          <w:right w:val="single" w:color="BABABA" w:sz="12"/>
          <w:insideH w:val="single" w:color="BABABA" w:sz="8"/>
          <w:insideV w:val="single" w:color="DADADA" w:sz="8"/>
        </w:tblBorders>
        <w:tblW w:w="9000" w:type="dxa"/>
        <w:tblLayout w:type="fixed"/>
        <w:tblCellMar>
          <w:left w:w="40" w:type="dxa"/>
          <w:right w:w="40" w:type="dxa"/>
        </w:tblCellMar>
      </w:tblPr>
      <w:tblGrid>
        <w:gridCol w:w="700"/>
        <w:gridCol w:w="3180"/>
        <w:gridCol w:w="700"/>
        <w:gridCol w:w="1860"/>
        <w:gridCol w:w="700"/>
      </w:tblGrid>
      <w:tr>
        <w:trPr>
          <w:cantSplit/>
        </w:trPr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Račun iz rač. plana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Opis stavke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Šifra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Iznos</w:t>
            </w:r>
          </w:p>
        </w:tc>
        <w:tc>
          <w:tcPr>
            <w:shd w:val="clear" w:color="auto" w:fill="E7F0F9"/>
            <w:tcMar>
              <w:top w:w="0" w:type="dxa"/>
              <w:bottom w:w="0" w:type="dxa"/>
            </w:tcMar>
            <w:vAlign w:val="center"/>
          </w:tcPr>
          <w:p>
            <w:pPr>
              <w:jc w:val="center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  <w:b/>
              </w:rPr>
              <w:t>Indeks (%)</w:t>
            </w:r>
          </w:p>
        </w:tc>
      </w:tr>
      <w:tr>
        <w:trPr>
          <w:trHeight w:val="560" w:hRule="atLeast"/>
          <w:cantSplit/>
        </w:trPr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/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Stanje nedospjelih obveza na kraju izvještajnog razdoblja (šifre V010 + ND23 + ND24 + 'ND dio 25,26' + ND27)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lef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V009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15.816.940,52</w:t>
            </w:r>
          </w:p>
        </w:tc>
        <w:tc>
          <w:tcPr>
            <w:tcMar>
              <w:top w:w="0" w:type="dxa"/>
              <w:bottom w:w="0" w:type="dxa"/>
            </w:tcMar>
            <w:vAlign w:val="center"/>
          </w:tcPr>
          <w:p>
            <w:pPr>
              <w:jc w:val="right"/>
              <w:pStyle w:val="Normal"/>
              <w:spacing w:before="0" w:after="0" w:line="240" w:lineRule="auto"/>
              <w:keepNext/>
              <w:keepLines/>
            </w:pPr>
            <w:r>
              <w:rPr>
                <w:sz w:val="18"/>
                <w:rFonts w:ascii="Times New Roman" w:hAnsi="Times New Roman"/>
              </w:rPr>
              <w:t>-</w:t>
            </w:r>
          </w:p>
        </w:tc>
      </w:tr>
    </w:tbl>
    <w:p>
      <w:pPr>
        <w:spacing w:before="0" w:after="0"/>
      </w:pPr>
    </w:p>
    <w:p>
      <w:r>
        <w:t xml:space="preserve">Obveze se odnose na dugovanja prema APN-u za otplatu trećeg obroka (nakon uplate otplate od kupca stanova). </w:t>
      </w:r>
    </w:p>
    <w:p/>
  </w:body>
</w:document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sz w:val="24"/>
      </w:rPr>
    </w:rPrDefault>
  </w:docDefaults>
  <w:style w:type="paragraph" w:styleId="Normal" w:default="true">
    <w:name w:val="Normal"/>
    <w:rPr>
      <w:rFonts w:ascii="Times New Roman" w:hAnsi="Times New Roman"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0a1feeec5674a1a" /></Relationships>
</file>